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AA" w:rsidRDefault="005E75B6">
      <w:pPr>
        <w:pStyle w:val="Standard"/>
        <w:jc w:val="center"/>
      </w:pPr>
      <w:bookmarkStart w:id="0" w:name="_GoBack"/>
      <w:bookmarkEnd w:id="0"/>
      <w:r>
        <w:rPr>
          <w:b/>
          <w:sz w:val="28"/>
        </w:rPr>
        <w:t>Specyfikacja techniczna wykonania węzłów</w:t>
      </w:r>
    </w:p>
    <w:p w:rsidR="00C27EAA" w:rsidRDefault="00C27EAA">
      <w:pPr>
        <w:pStyle w:val="Standard"/>
        <w:jc w:val="center"/>
        <w:rPr>
          <w:b/>
          <w:sz w:val="12"/>
        </w:rPr>
      </w:pPr>
    </w:p>
    <w:p w:rsidR="00C27EAA" w:rsidRDefault="005E75B6">
      <w:pPr>
        <w:pStyle w:val="Standard"/>
        <w:spacing w:line="276" w:lineRule="auto"/>
      </w:pPr>
      <w:r>
        <w:rPr>
          <w:b/>
          <w:sz w:val="24"/>
        </w:rPr>
        <w:t>Parametry obliczeniowe pracy węzłów:</w:t>
      </w:r>
    </w:p>
    <w:p w:rsidR="00C27EAA" w:rsidRDefault="005E75B6">
      <w:pPr>
        <w:pStyle w:val="Akapitzlist"/>
        <w:numPr>
          <w:ilvl w:val="0"/>
          <w:numId w:val="29"/>
        </w:numPr>
        <w:spacing w:line="276" w:lineRule="auto"/>
        <w:jc w:val="both"/>
      </w:pPr>
      <w:r>
        <w:rPr>
          <w:sz w:val="24"/>
        </w:rPr>
        <w:t xml:space="preserve">Strona sieciowa: </w:t>
      </w:r>
      <w:r>
        <w:rPr>
          <w:sz w:val="24"/>
        </w:rPr>
        <w:tab/>
        <w:t xml:space="preserve">          max. temp. wody 110°C - zima;    min. temp. wody 75°C - lato;</w:t>
      </w:r>
    </w:p>
    <w:p w:rsidR="00C27EAA" w:rsidRDefault="005E75B6">
      <w:pPr>
        <w:pStyle w:val="Akapitzlist"/>
        <w:spacing w:line="276" w:lineRule="auto"/>
        <w:ind w:left="2844"/>
        <w:jc w:val="both"/>
      </w:pPr>
      <w:r>
        <w:rPr>
          <w:sz w:val="24"/>
        </w:rPr>
        <w:t xml:space="preserve">          min. ciśnienie dyspozycyjne ok. 1 bar;</w:t>
      </w:r>
    </w:p>
    <w:p w:rsidR="00C27EAA" w:rsidRDefault="005E75B6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sz w:val="24"/>
        </w:rPr>
        <w:t xml:space="preserve">Strona </w:t>
      </w:r>
      <w:r>
        <w:rPr>
          <w:sz w:val="24"/>
        </w:rPr>
        <w:t>instalacyjna c.o.:      max. temp. wody 75°C,</w:t>
      </w:r>
    </w:p>
    <w:p w:rsidR="00C27EAA" w:rsidRDefault="005E75B6">
      <w:pPr>
        <w:pStyle w:val="Standard"/>
        <w:spacing w:line="276" w:lineRule="auto"/>
        <w:ind w:left="2832"/>
        <w:jc w:val="both"/>
      </w:pPr>
      <w:r>
        <w:rPr>
          <w:sz w:val="24"/>
        </w:rPr>
        <w:t xml:space="preserve">          Szkoła ul. Klementowskiego 2      -    12m H2O</w:t>
      </w:r>
    </w:p>
    <w:p w:rsidR="00C27EAA" w:rsidRDefault="005E75B6">
      <w:pPr>
        <w:pStyle w:val="Standard"/>
        <w:spacing w:line="276" w:lineRule="auto"/>
        <w:ind w:left="2832"/>
        <w:jc w:val="both"/>
      </w:pPr>
      <w:r>
        <w:rPr>
          <w:sz w:val="24"/>
        </w:rPr>
        <w:t xml:space="preserve">          Szkoła ul. Wołodyjowskiego 2A   -     15m H2O</w:t>
      </w:r>
    </w:p>
    <w:p w:rsidR="00C27EAA" w:rsidRDefault="005E75B6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sz w:val="24"/>
        </w:rPr>
        <w:t>Strona instalacyjna c.w.u.:   max. temp. c.w.u. 55°C; temp. wody wodociągowej zimą min. 8°C;</w:t>
      </w:r>
    </w:p>
    <w:p w:rsidR="00C27EAA" w:rsidRDefault="005E75B6">
      <w:pPr>
        <w:pStyle w:val="Akapitzlist"/>
        <w:spacing w:line="276" w:lineRule="auto"/>
        <w:ind w:left="2844"/>
        <w:jc w:val="both"/>
      </w:pPr>
      <w:r>
        <w:rPr>
          <w:sz w:val="24"/>
        </w:rPr>
        <w:t xml:space="preserve">    </w:t>
      </w:r>
      <w:r>
        <w:rPr>
          <w:sz w:val="24"/>
        </w:rPr>
        <w:t xml:space="preserve">      max. ciśnienie wody wodociągowej 5 barów.</w:t>
      </w:r>
    </w:p>
    <w:p w:rsidR="00C27EAA" w:rsidRDefault="005E75B6">
      <w:pPr>
        <w:pStyle w:val="Standard"/>
        <w:spacing w:line="360" w:lineRule="auto"/>
      </w:pPr>
      <w:r>
        <w:rPr>
          <w:b/>
          <w:sz w:val="24"/>
        </w:rPr>
        <w:t>Wymogi dotyczące wykonania węzłów:</w:t>
      </w:r>
    </w:p>
    <w:p w:rsidR="00C27EAA" w:rsidRDefault="005E75B6">
      <w:pPr>
        <w:pStyle w:val="Akapitzlist"/>
        <w:numPr>
          <w:ilvl w:val="0"/>
          <w:numId w:val="30"/>
        </w:numPr>
        <w:spacing w:line="360" w:lineRule="auto"/>
        <w:jc w:val="both"/>
      </w:pPr>
      <w:r>
        <w:rPr>
          <w:sz w:val="24"/>
        </w:rPr>
        <w:t>Węzły należy zaprojektować i wykonać jako dwufunkcyjne równoległe c.o. i c.w.u. o mocach:</w:t>
      </w:r>
    </w:p>
    <w:p w:rsidR="00C27EAA" w:rsidRDefault="005E75B6">
      <w:pPr>
        <w:pStyle w:val="Akapitzlist"/>
        <w:numPr>
          <w:ilvl w:val="0"/>
          <w:numId w:val="31"/>
        </w:numPr>
        <w:spacing w:line="276" w:lineRule="auto"/>
        <w:ind w:left="1134" w:firstLine="0"/>
      </w:pPr>
      <w:r>
        <w:rPr>
          <w:sz w:val="24"/>
        </w:rPr>
        <w:t>Szkoła nr 1 ul. Klementowskiego 2</w:t>
      </w:r>
    </w:p>
    <w:p w:rsidR="00C27EAA" w:rsidRDefault="005E75B6">
      <w:pPr>
        <w:pStyle w:val="Akapitzlist"/>
        <w:spacing w:line="276" w:lineRule="auto"/>
        <w:ind w:left="1134"/>
        <w:jc w:val="both"/>
      </w:pPr>
      <w:r>
        <w:rPr>
          <w:sz w:val="24"/>
        </w:rPr>
        <w:t xml:space="preserve">- c.o.  200 kW – 2 obiegi łącznie – szkoła </w:t>
      </w:r>
      <w:r>
        <w:rPr>
          <w:sz w:val="24"/>
        </w:rPr>
        <w:t xml:space="preserve">(grzejniki) + sala gimnastyczna (13 sztuk grzejników oraz nagrzewnice  EuroHeat Volcano – 4 szt. załączanie ogrzewania sterownikiem Auratron 2016, </w:t>
      </w:r>
      <w:r>
        <w:rPr>
          <w:color w:val="000000"/>
          <w:sz w:val="24"/>
        </w:rPr>
        <w:t>sterowane obrotami wentylatorów za pomocą regulatorów EuroHeat ARW 3.0/2</w:t>
      </w:r>
      <w:r>
        <w:rPr>
          <w:sz w:val="24"/>
        </w:rPr>
        <w:t>).</w:t>
      </w:r>
    </w:p>
    <w:p w:rsidR="00C27EAA" w:rsidRDefault="005E75B6">
      <w:pPr>
        <w:pStyle w:val="Akapitzlist"/>
        <w:spacing w:line="276" w:lineRule="auto"/>
        <w:ind w:left="1134"/>
      </w:pPr>
      <w:r>
        <w:rPr>
          <w:sz w:val="24"/>
        </w:rPr>
        <w:t>- c.w.u.  40 kW</w:t>
      </w:r>
    </w:p>
    <w:p w:rsidR="00C27EAA" w:rsidRDefault="005E75B6">
      <w:pPr>
        <w:pStyle w:val="Akapitzlist"/>
        <w:numPr>
          <w:ilvl w:val="0"/>
          <w:numId w:val="7"/>
        </w:numPr>
        <w:spacing w:line="276" w:lineRule="auto"/>
        <w:ind w:left="1134" w:firstLine="0"/>
      </w:pPr>
      <w:r>
        <w:rPr>
          <w:sz w:val="24"/>
        </w:rPr>
        <w:t>Szkoła nr 4 ul. Wo</w:t>
      </w:r>
      <w:r>
        <w:rPr>
          <w:sz w:val="24"/>
        </w:rPr>
        <w:t>łodyjowskiego 2A</w:t>
      </w:r>
    </w:p>
    <w:p w:rsidR="00C27EAA" w:rsidRDefault="005E75B6">
      <w:pPr>
        <w:pStyle w:val="Akapitzlist"/>
        <w:spacing w:line="276" w:lineRule="auto"/>
        <w:ind w:left="1134"/>
      </w:pPr>
      <w:r>
        <w:rPr>
          <w:sz w:val="24"/>
        </w:rPr>
        <w:t>-  c.o.  450 kW – 2 obiegi łącznie – szkoła (grzejniki) + sala gimnastyczna (grzejniki + ogrzewanie nadmuchowe).</w:t>
      </w:r>
    </w:p>
    <w:p w:rsidR="00C27EAA" w:rsidRDefault="005E75B6">
      <w:pPr>
        <w:pStyle w:val="Akapitzlist"/>
        <w:spacing w:line="276" w:lineRule="auto"/>
        <w:ind w:left="1134"/>
      </w:pPr>
      <w:r>
        <w:rPr>
          <w:sz w:val="24"/>
        </w:rPr>
        <w:t>-  c.w.u.  50 kW</w:t>
      </w:r>
    </w:p>
    <w:p w:rsidR="00C27EAA" w:rsidRDefault="005E75B6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sz w:val="24"/>
        </w:rPr>
        <w:t xml:space="preserve">Węzły należy wykonać na samonośnej konstrukcji wsporczej. Konstrukcję wsporczą wyposażyć w regulowane stopki </w:t>
      </w:r>
      <w:r>
        <w:rPr>
          <w:sz w:val="24"/>
        </w:rPr>
        <w:t>wykonane ze stali nierdzewnej (zakres regulacji: ±50mm),</w:t>
      </w:r>
    </w:p>
    <w:p w:rsidR="00C27EAA" w:rsidRDefault="005E75B6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sz w:val="24"/>
        </w:rPr>
        <w:t>Konstrukcja węzła powinna umożliwić łatwy demontaż i ponowny montaż oraz dostęp eksploatacyjny do wymienników, pomp, zaworów regulacyjnych z siłownikami, ciepłomierza i pozostałych urządzeń celem wyk</w:t>
      </w:r>
      <w:r>
        <w:rPr>
          <w:sz w:val="24"/>
        </w:rPr>
        <w:t>onania ewentualnych czynności serwisowych,</w:t>
      </w:r>
    </w:p>
    <w:p w:rsidR="00C27EAA" w:rsidRDefault="005E75B6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sz w:val="24"/>
        </w:rPr>
        <w:t>Każdy węzeł należy wykonać i dostarczyć do siedziby Zamawiającego w postaci oddzielnych modułów o maksymalnej masie do 60kg każdy (zgodnie z rozporządzeniem w sprawie bezpieczeństwa i higieny pracy przy ręcznych p</w:t>
      </w:r>
      <w:r>
        <w:rPr>
          <w:sz w:val="24"/>
        </w:rPr>
        <w:t xml:space="preserve">racach transportowych z dnia 27 kwietnia 2017r., Dz.U. z 2017r. poz. 854), w celu umożliwienia ręcznego transportu (również po </w:t>
      </w:r>
      <w:r>
        <w:rPr>
          <w:sz w:val="24"/>
        </w:rPr>
        <w:lastRenderedPageBreak/>
        <w:t>schodach) do pomieszczeń w których węzły cieplne zostaną zainstalowane. Poszczególne moduły węzłów opisane powyżej powinny posiad</w:t>
      </w:r>
      <w:r>
        <w:rPr>
          <w:sz w:val="24"/>
        </w:rPr>
        <w:t>ać kształt prostopadłościanów wewnątrz których są zamontowane urządzenia węzła i mieć</w:t>
      </w:r>
      <w:r>
        <w:rPr>
          <w:color w:val="FF0000"/>
          <w:sz w:val="24"/>
        </w:rPr>
        <w:t xml:space="preserve"> </w:t>
      </w:r>
      <w:r>
        <w:rPr>
          <w:sz w:val="24"/>
        </w:rPr>
        <w:t>wymiary umożliwiające wniesienie ich przez otwór drzwiowy o wymiarach 100 x 200 cm.</w:t>
      </w:r>
    </w:p>
    <w:p w:rsidR="00C27EAA" w:rsidRDefault="005E75B6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sz w:val="24"/>
        </w:rPr>
        <w:t>Wyposażyć węzły we wstawki umożliwiające montaż gwintowanych ciepłomierzy firmy Kamstr</w:t>
      </w:r>
      <w:r>
        <w:rPr>
          <w:sz w:val="24"/>
        </w:rPr>
        <w:t>up oddzielnie na obiegi c.o. i c.w.u. (zakup i montaż ciepłomierzy po stronie PEC Pisz).</w:t>
      </w:r>
    </w:p>
    <w:p w:rsidR="00C27EAA" w:rsidRDefault="005E75B6">
      <w:pPr>
        <w:pStyle w:val="Akapitzlist"/>
        <w:numPr>
          <w:ilvl w:val="0"/>
          <w:numId w:val="5"/>
        </w:numPr>
        <w:spacing w:line="276" w:lineRule="auto"/>
        <w:jc w:val="both"/>
      </w:pPr>
      <w:r>
        <w:rPr>
          <w:sz w:val="24"/>
        </w:rPr>
        <w:t>Rurociągi należy oznakować w sposób wyraźny i trwały podając nazwę obiegu oraz kierunek przepływu czynnika.</w:t>
      </w:r>
    </w:p>
    <w:p w:rsidR="00C27EAA" w:rsidRDefault="005E75B6">
      <w:pPr>
        <w:pStyle w:val="Standard"/>
        <w:spacing w:line="276" w:lineRule="auto"/>
        <w:jc w:val="both"/>
      </w:pPr>
      <w:r>
        <w:rPr>
          <w:b/>
          <w:color w:val="000000"/>
          <w:sz w:val="24"/>
        </w:rPr>
        <w:t>Wymagania dot. dokumentacji technicznej dostarczanej z węzł</w:t>
      </w:r>
      <w:r>
        <w:rPr>
          <w:b/>
          <w:color w:val="000000"/>
          <w:sz w:val="24"/>
        </w:rPr>
        <w:t>em</w:t>
      </w:r>
    </w:p>
    <w:p w:rsidR="00C27EAA" w:rsidRDefault="005E75B6">
      <w:pPr>
        <w:pStyle w:val="Akapitzlist"/>
        <w:numPr>
          <w:ilvl w:val="0"/>
          <w:numId w:val="32"/>
        </w:numPr>
        <w:spacing w:line="276" w:lineRule="auto"/>
        <w:jc w:val="both"/>
      </w:pPr>
      <w:r>
        <w:rPr>
          <w:color w:val="000000"/>
          <w:sz w:val="24"/>
        </w:rPr>
        <w:t>Dokumentacja projektowa (3 egz.):</w:t>
      </w:r>
    </w:p>
    <w:p w:rsidR="00C27EAA" w:rsidRDefault="005E75B6">
      <w:pPr>
        <w:pStyle w:val="Akapitzlist"/>
        <w:numPr>
          <w:ilvl w:val="0"/>
          <w:numId w:val="33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>opis techniczny i dane techniczne węzła ciepłowniczego,</w:t>
      </w:r>
    </w:p>
    <w:p w:rsidR="00C27EAA" w:rsidRDefault="005E75B6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>specyfikacja urządzeń i armatury,</w:t>
      </w:r>
    </w:p>
    <w:p w:rsidR="00C27EAA" w:rsidRDefault="005E75B6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>schemat technologiczny węzła cieplnego,</w:t>
      </w:r>
    </w:p>
    <w:p w:rsidR="00C27EAA" w:rsidRDefault="005E75B6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>schemat instalacji elektrycznych i automatyki oraz schemat montażowy,</w:t>
      </w:r>
    </w:p>
    <w:p w:rsidR="00C27EAA" w:rsidRDefault="005E75B6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>instrukcja montażu, obsługi i eksploatacji.</w:t>
      </w:r>
    </w:p>
    <w:p w:rsidR="00C27EAA" w:rsidRDefault="005E75B6">
      <w:pPr>
        <w:pStyle w:val="Akapitzlist"/>
        <w:numPr>
          <w:ilvl w:val="0"/>
          <w:numId w:val="22"/>
        </w:numPr>
        <w:spacing w:line="276" w:lineRule="auto"/>
        <w:jc w:val="both"/>
      </w:pPr>
      <w:r>
        <w:rPr>
          <w:color w:val="000000"/>
          <w:sz w:val="24"/>
        </w:rPr>
        <w:t>Dokumentacja odbiorowa (2 egz.):</w:t>
      </w:r>
    </w:p>
    <w:p w:rsidR="00C27EAA" w:rsidRDefault="005E75B6">
      <w:pPr>
        <w:pStyle w:val="Akapitzlist"/>
        <w:numPr>
          <w:ilvl w:val="0"/>
          <w:numId w:val="34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 xml:space="preserve">protokoły badania wymienników ciepła, naczyń ciśnieniowych, </w:t>
      </w:r>
      <w:proofErr w:type="spellStart"/>
      <w:r>
        <w:rPr>
          <w:color w:val="000000"/>
          <w:sz w:val="24"/>
        </w:rPr>
        <w:t>filtroodmulników</w:t>
      </w:r>
      <w:proofErr w:type="spellEnd"/>
      <w:r>
        <w:rPr>
          <w:color w:val="000000"/>
          <w:sz w:val="24"/>
        </w:rPr>
        <w:t xml:space="preserve"> i stabilizatorów temperatury c.w.u.  jeśli są wymagane przez Urząd Dozoru Technicznego,</w:t>
      </w:r>
    </w:p>
    <w:p w:rsidR="00C27EAA" w:rsidRDefault="005E75B6">
      <w:pPr>
        <w:pStyle w:val="Akapitzlist"/>
        <w:numPr>
          <w:ilvl w:val="0"/>
          <w:numId w:val="26"/>
        </w:numPr>
        <w:spacing w:line="276" w:lineRule="auto"/>
        <w:ind w:left="1134" w:firstLine="0"/>
        <w:jc w:val="both"/>
      </w:pPr>
      <w:r>
        <w:rPr>
          <w:color w:val="000000"/>
          <w:sz w:val="24"/>
        </w:rPr>
        <w:t xml:space="preserve">deklaracja </w:t>
      </w:r>
      <w:r>
        <w:rPr>
          <w:color w:val="000000"/>
          <w:sz w:val="24"/>
        </w:rPr>
        <w:t>zgodności wykonania węzła cieplnego zgodnie z obowiązującymi dyrektywami -  CE.</w:t>
      </w:r>
    </w:p>
    <w:p w:rsidR="00C27EAA" w:rsidRDefault="005E75B6">
      <w:pPr>
        <w:pStyle w:val="Standard"/>
        <w:spacing w:line="276" w:lineRule="auto"/>
      </w:pPr>
      <w:r>
        <w:rPr>
          <w:b/>
          <w:sz w:val="24"/>
        </w:rPr>
        <w:t>Uwagi dla zastosowanych urządzeń</w:t>
      </w:r>
    </w:p>
    <w:p w:rsidR="00C27EAA" w:rsidRDefault="005E75B6">
      <w:pPr>
        <w:pStyle w:val="Standard"/>
        <w:spacing w:line="276" w:lineRule="auto"/>
        <w:jc w:val="both"/>
      </w:pPr>
      <w:r>
        <w:rPr>
          <w:sz w:val="24"/>
        </w:rPr>
        <w:t>Zgodnie z niniejszą specyfikacją techniczną, węzły należy zbudować w oparciu o następujące urządzenia:</w:t>
      </w:r>
    </w:p>
    <w:p w:rsidR="00C27EAA" w:rsidRDefault="005E75B6">
      <w:pPr>
        <w:pStyle w:val="Akapitzlist"/>
        <w:numPr>
          <w:ilvl w:val="0"/>
          <w:numId w:val="35"/>
        </w:numPr>
        <w:spacing w:line="276" w:lineRule="auto"/>
      </w:pPr>
      <w:r>
        <w:rPr>
          <w:sz w:val="24"/>
        </w:rPr>
        <w:t>Pompy obiegowe w obiegach centralnego og</w:t>
      </w:r>
      <w:r>
        <w:rPr>
          <w:sz w:val="24"/>
        </w:rPr>
        <w:t>rzewania – Grundfos MAGNA 3.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Pompa obiegowa w obiegu ciepłej wody użytkowej – Grundfos UPS N.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Zawory regulacyjne i siłowniki elektryczne – Danfoss.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Regulatory różnicy ciśnień – Danfoss.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Regulatory pogodowe – Danfoss ECL Comfort 310, 230V.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 xml:space="preserve">Klucze aplikacji </w:t>
      </w:r>
      <w:r>
        <w:rPr>
          <w:sz w:val="24"/>
        </w:rPr>
        <w:t>do regulatorów pogodowych Danfoss ECL – Danfoss A266.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Czujniki zanurzeniowe – Danfoss ESMU.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t>Czujniki temperatury zewnętrznej – Danfoss ESMT.</w:t>
      </w:r>
    </w:p>
    <w:p w:rsidR="00C27EAA" w:rsidRDefault="005E75B6">
      <w:pPr>
        <w:pStyle w:val="Akapitzlist"/>
        <w:numPr>
          <w:ilvl w:val="0"/>
          <w:numId w:val="1"/>
        </w:numPr>
        <w:spacing w:line="276" w:lineRule="auto"/>
      </w:pPr>
      <w:r>
        <w:rPr>
          <w:sz w:val="24"/>
        </w:rPr>
        <w:lastRenderedPageBreak/>
        <w:t>Ciepłomierze – Kamstrup (zakup i montaż po stronie PEC Pisz).</w:t>
      </w:r>
    </w:p>
    <w:p w:rsidR="00C27EAA" w:rsidRDefault="005E75B6">
      <w:pPr>
        <w:pStyle w:val="Standard"/>
        <w:spacing w:line="276" w:lineRule="auto"/>
      </w:pPr>
      <w:r>
        <w:rPr>
          <w:sz w:val="24"/>
        </w:rPr>
        <w:t>Zamawiający nie dopuszcza zastosowania innych urządze</w:t>
      </w:r>
      <w:r>
        <w:rPr>
          <w:sz w:val="24"/>
        </w:rPr>
        <w:t>ń niż wymienione powyżej.</w:t>
      </w:r>
    </w:p>
    <w:p w:rsidR="00C27EAA" w:rsidRDefault="005E75B6">
      <w:pPr>
        <w:pStyle w:val="Standard"/>
        <w:spacing w:line="276" w:lineRule="auto"/>
      </w:pPr>
      <w:r>
        <w:rPr>
          <w:sz w:val="24"/>
        </w:rPr>
        <w:t>Węzły będące przedmiotem zamówienia mają zastąpić pracujące</w:t>
      </w:r>
      <w:r>
        <w:rPr>
          <w:color w:val="FF0000"/>
          <w:sz w:val="24"/>
        </w:rPr>
        <w:t xml:space="preserve"> </w:t>
      </w:r>
      <w:r>
        <w:rPr>
          <w:sz w:val="24"/>
        </w:rPr>
        <w:t>węzły z wymiennikami typu JAD zbudowane w oparciu o następujące komponenty:</w:t>
      </w:r>
    </w:p>
    <w:p w:rsidR="00C27EAA" w:rsidRDefault="005E75B6">
      <w:pPr>
        <w:pStyle w:val="Akapitzlist"/>
        <w:numPr>
          <w:ilvl w:val="0"/>
          <w:numId w:val="36"/>
        </w:numPr>
        <w:spacing w:line="276" w:lineRule="auto"/>
      </w:pPr>
      <w:r>
        <w:rPr>
          <w:sz w:val="24"/>
        </w:rPr>
        <w:t>Szkoła nr 1 ul. Klementowskiego 2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pompa obiegowa c.o. szkoła – LFP Leszno 50POe60 A/B </w:t>
      </w:r>
      <w:r>
        <w:rPr>
          <w:sz w:val="24"/>
        </w:rPr>
        <w:t>MEGA.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pompa obiegowa c.o. sala gimnastyczna – LFP Leszno 40POU60 A/B.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pompa obiegowa c.w.u. cyrkulacja – LFP Leszno 25PWr60C  </w:t>
      </w:r>
      <w:r>
        <w:rPr>
          <w:color w:val="000000"/>
          <w:sz w:val="24"/>
        </w:rPr>
        <w:t>pracująca na 3 biegu.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wymienniki c.o. typu JAD SECESPOL K 6.50  -  3 sztuki połączone równolegle.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wymiennik c.w.u. typ</w:t>
      </w:r>
      <w:r>
        <w:rPr>
          <w:sz w:val="24"/>
        </w:rPr>
        <w:t>u JAD D1  -  1 sztuka</w:t>
      </w:r>
    </w:p>
    <w:p w:rsidR="00C27EAA" w:rsidRDefault="005E75B6">
      <w:pPr>
        <w:pStyle w:val="Akapitzlist"/>
        <w:numPr>
          <w:ilvl w:val="0"/>
          <w:numId w:val="3"/>
        </w:numPr>
        <w:spacing w:line="276" w:lineRule="auto"/>
      </w:pPr>
      <w:r>
        <w:rPr>
          <w:sz w:val="24"/>
        </w:rPr>
        <w:t>Szkoła nr 4 ul. Wołodyjowskiego 2A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pompa obiegowa c.o. szkoła – GRUNDFOS MAGNA 65-120/F.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pompa obiegowa c.o. sala gimnastyczna – GRUNDFOS UPS 65-120 </w:t>
      </w:r>
      <w:r>
        <w:rPr>
          <w:color w:val="000000"/>
          <w:sz w:val="24"/>
        </w:rPr>
        <w:t>F  pracująca na 3 biegu.</w:t>
      </w:r>
    </w:p>
    <w:p w:rsidR="00C27EAA" w:rsidRDefault="005E75B6">
      <w:pPr>
        <w:pStyle w:val="Akapitzlist"/>
        <w:spacing w:line="276" w:lineRule="auto"/>
      </w:pP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- węzeł bez cyrkulacji c.w.u.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wymienniki c.o. typu</w:t>
      </w:r>
      <w:r>
        <w:rPr>
          <w:sz w:val="24"/>
        </w:rPr>
        <w:t xml:space="preserve"> JAD Se Ce S - POL 6/50  -  3 sztuki  połączone równolegle.</w:t>
      </w:r>
    </w:p>
    <w:p w:rsidR="00C27EAA" w:rsidRDefault="005E75B6">
      <w:pPr>
        <w:pStyle w:val="Akapitzlist"/>
        <w:spacing w:line="276" w:lineRule="auto"/>
      </w:pPr>
      <w:r>
        <w:rPr>
          <w:sz w:val="24"/>
        </w:rPr>
        <w:t xml:space="preserve"> - wymiennik c.w.u. typu JAD D1  -  1 sztuka.</w:t>
      </w:r>
    </w:p>
    <w:sectPr w:rsidR="00C27EAA">
      <w:footerReference w:type="default" r:id="rId7"/>
      <w:pgSz w:w="11906" w:h="16838"/>
      <w:pgMar w:top="1440" w:right="1080" w:bottom="1440" w:left="1080" w:header="397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75B6">
      <w:pPr>
        <w:spacing w:after="0" w:line="240" w:lineRule="auto"/>
      </w:pPr>
      <w:r>
        <w:separator/>
      </w:r>
    </w:p>
  </w:endnote>
  <w:endnote w:type="continuationSeparator" w:id="0">
    <w:p w:rsidR="00000000" w:rsidRDefault="005E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2B" w:rsidRDefault="005E75B6">
    <w:pPr>
      <w:pStyle w:val="Stopka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</w:rPr>
      <w:t>Załącznik nr 2  do Zapytania ofertowego – specyfikacja techniczna wykonania węzłów</w:t>
    </w:r>
  </w:p>
  <w:p w:rsidR="00065C2B" w:rsidRDefault="005E75B6">
    <w:pPr>
      <w:pStyle w:val="Bodytext2"/>
      <w:shd w:val="clear" w:color="auto" w:fill="auto"/>
      <w:spacing w:after="0" w:line="276" w:lineRule="auto"/>
      <w:ind w:firstLine="0"/>
      <w:jc w:val="left"/>
    </w:pPr>
    <w:r>
      <w:rPr>
        <w:rStyle w:val="CharStyle6"/>
        <w:i/>
        <w:sz w:val="16"/>
        <w:szCs w:val="16"/>
      </w:rPr>
      <w:t>„</w:t>
    </w:r>
    <w:r>
      <w:rPr>
        <w:rFonts w:cs="Times New Roman"/>
        <w:b w:val="0"/>
        <w:i/>
        <w:sz w:val="16"/>
        <w:szCs w:val="16"/>
      </w:rPr>
      <w:t>Zakup dwóch węzłów cieplnych – szkoła nr 1 i szkoła nr 4</w:t>
    </w:r>
    <w:r>
      <w:rPr>
        <w:rStyle w:val="CharStyle6"/>
        <w:i/>
        <w:sz w:val="16"/>
        <w:szCs w:val="16"/>
      </w:rPr>
      <w:t>”</w:t>
    </w:r>
  </w:p>
  <w:p w:rsidR="00065C2B" w:rsidRDefault="005E75B6">
    <w:pPr>
      <w:pStyle w:val="Stopka"/>
      <w:rPr>
        <w:rFonts w:ascii="Palatino Linotype" w:hAnsi="Palatino Linotype"/>
        <w:i/>
        <w:sz w:val="16"/>
        <w:szCs w:val="16"/>
      </w:rPr>
    </w:pPr>
  </w:p>
  <w:p w:rsidR="00065C2B" w:rsidRDefault="005E7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75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E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6E6"/>
    <w:multiLevelType w:val="multilevel"/>
    <w:tmpl w:val="E438B31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7F3CDD"/>
    <w:multiLevelType w:val="multilevel"/>
    <w:tmpl w:val="3D5662AA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785" w:hanging="705"/>
      </w:pPr>
      <w:rPr>
        <w:rFonts w:ascii="Times New Roman" w:hAnsi="Times New Roman" w:cs="F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8F23EF3"/>
    <w:multiLevelType w:val="multilevel"/>
    <w:tmpl w:val="5B8A1B86"/>
    <w:styleLink w:val="WWNum11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1.%2.%3."/>
      <w:lvlJc w:val="right"/>
      <w:pPr>
        <w:ind w:left="2490" w:hanging="180"/>
      </w:pPr>
    </w:lvl>
    <w:lvl w:ilvl="3">
      <w:start w:val="1"/>
      <w:numFmt w:val="decimal"/>
      <w:lvlText w:val="%1.%2.%3.%4."/>
      <w:lvlJc w:val="left"/>
      <w:pPr>
        <w:ind w:left="3210" w:hanging="360"/>
      </w:pPr>
    </w:lvl>
    <w:lvl w:ilvl="4">
      <w:start w:val="1"/>
      <w:numFmt w:val="lowerLetter"/>
      <w:lvlText w:val="%1.%2.%3.%4.%5."/>
      <w:lvlJc w:val="left"/>
      <w:pPr>
        <w:ind w:left="3930" w:hanging="360"/>
      </w:pPr>
    </w:lvl>
    <w:lvl w:ilvl="5">
      <w:start w:val="1"/>
      <w:numFmt w:val="lowerRoman"/>
      <w:lvlText w:val="%1.%2.%3.%4.%5.%6."/>
      <w:lvlJc w:val="right"/>
      <w:pPr>
        <w:ind w:left="4650" w:hanging="180"/>
      </w:pPr>
    </w:lvl>
    <w:lvl w:ilvl="6">
      <w:start w:val="1"/>
      <w:numFmt w:val="decimal"/>
      <w:lvlText w:val="%1.%2.%3.%4.%5.%6.%7."/>
      <w:lvlJc w:val="left"/>
      <w:pPr>
        <w:ind w:left="5370" w:hanging="360"/>
      </w:pPr>
    </w:lvl>
    <w:lvl w:ilvl="7">
      <w:start w:val="1"/>
      <w:numFmt w:val="lowerLetter"/>
      <w:lvlText w:val="%1.%2.%3.%4.%5.%6.%7.%8."/>
      <w:lvlJc w:val="left"/>
      <w:pPr>
        <w:ind w:left="6090" w:hanging="360"/>
      </w:pPr>
    </w:lvl>
    <w:lvl w:ilvl="8">
      <w:start w:val="1"/>
      <w:numFmt w:val="lowerRoman"/>
      <w:lvlText w:val="%1.%2.%3.%4.%5.%6.%7.%8.%9."/>
      <w:lvlJc w:val="right"/>
      <w:pPr>
        <w:ind w:left="6810" w:hanging="180"/>
      </w:pPr>
    </w:lvl>
  </w:abstractNum>
  <w:abstractNum w:abstractNumId="3" w15:restartNumberingAfterBreak="0">
    <w:nsid w:val="19881C8E"/>
    <w:multiLevelType w:val="multilevel"/>
    <w:tmpl w:val="3AF639FA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CEC38A0"/>
    <w:multiLevelType w:val="multilevel"/>
    <w:tmpl w:val="1AD4C02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1AF7B0E"/>
    <w:multiLevelType w:val="multilevel"/>
    <w:tmpl w:val="54CA2F78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CDB7B8A"/>
    <w:multiLevelType w:val="multilevel"/>
    <w:tmpl w:val="8012B20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83785F"/>
    <w:multiLevelType w:val="multilevel"/>
    <w:tmpl w:val="6F48B912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8F25BA5"/>
    <w:multiLevelType w:val="multilevel"/>
    <w:tmpl w:val="2A9E6C4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9B3444B"/>
    <w:multiLevelType w:val="multilevel"/>
    <w:tmpl w:val="50EE306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A3D63F2"/>
    <w:multiLevelType w:val="multilevel"/>
    <w:tmpl w:val="F556A756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A434DD8"/>
    <w:multiLevelType w:val="multilevel"/>
    <w:tmpl w:val="53AC81C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A9C4493"/>
    <w:multiLevelType w:val="multilevel"/>
    <w:tmpl w:val="F982A02E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BC655AE"/>
    <w:multiLevelType w:val="multilevel"/>
    <w:tmpl w:val="7ABE547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E382031"/>
    <w:multiLevelType w:val="multilevel"/>
    <w:tmpl w:val="52FAB1B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F206AC5"/>
    <w:multiLevelType w:val="multilevel"/>
    <w:tmpl w:val="B1C67522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016476D"/>
    <w:multiLevelType w:val="multilevel"/>
    <w:tmpl w:val="B042535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6B267B4"/>
    <w:multiLevelType w:val="multilevel"/>
    <w:tmpl w:val="6AEA28A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F7F06D6"/>
    <w:multiLevelType w:val="multilevel"/>
    <w:tmpl w:val="EEC0D42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FAF27E9"/>
    <w:multiLevelType w:val="multilevel"/>
    <w:tmpl w:val="BDD0489C"/>
    <w:styleLink w:val="WWNum1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20" w15:restartNumberingAfterBreak="0">
    <w:nsid w:val="4FE3767D"/>
    <w:multiLevelType w:val="multilevel"/>
    <w:tmpl w:val="DCEC0AE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C544F2C"/>
    <w:multiLevelType w:val="multilevel"/>
    <w:tmpl w:val="12885A2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FA926E0"/>
    <w:multiLevelType w:val="multilevel"/>
    <w:tmpl w:val="520037FC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2005EF0"/>
    <w:multiLevelType w:val="multilevel"/>
    <w:tmpl w:val="CD7001CA"/>
    <w:styleLink w:val="WW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4C101CE"/>
    <w:multiLevelType w:val="multilevel"/>
    <w:tmpl w:val="E736875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E9F29AD"/>
    <w:multiLevelType w:val="multilevel"/>
    <w:tmpl w:val="3132CA2A"/>
    <w:styleLink w:val="WWNum28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1.%2.%3."/>
      <w:lvlJc w:val="right"/>
      <w:pPr>
        <w:ind w:left="2934" w:hanging="180"/>
      </w:pPr>
    </w:lvl>
    <w:lvl w:ilvl="3">
      <w:start w:val="1"/>
      <w:numFmt w:val="decimal"/>
      <w:lvlText w:val="%1.%2.%3.%4."/>
      <w:lvlJc w:val="left"/>
      <w:pPr>
        <w:ind w:left="3654" w:hanging="360"/>
      </w:pPr>
    </w:lvl>
    <w:lvl w:ilvl="4">
      <w:start w:val="1"/>
      <w:numFmt w:val="lowerLetter"/>
      <w:lvlText w:val="%1.%2.%3.%4.%5."/>
      <w:lvlJc w:val="left"/>
      <w:pPr>
        <w:ind w:left="4374" w:hanging="360"/>
      </w:pPr>
    </w:lvl>
    <w:lvl w:ilvl="5">
      <w:start w:val="1"/>
      <w:numFmt w:val="lowerRoman"/>
      <w:lvlText w:val="%1.%2.%3.%4.%5.%6."/>
      <w:lvlJc w:val="right"/>
      <w:pPr>
        <w:ind w:left="5094" w:hanging="180"/>
      </w:pPr>
    </w:lvl>
    <w:lvl w:ilvl="6">
      <w:start w:val="1"/>
      <w:numFmt w:val="decimal"/>
      <w:lvlText w:val="%1.%2.%3.%4.%5.%6.%7."/>
      <w:lvlJc w:val="left"/>
      <w:pPr>
        <w:ind w:left="5814" w:hanging="360"/>
      </w:pPr>
    </w:lvl>
    <w:lvl w:ilvl="7">
      <w:start w:val="1"/>
      <w:numFmt w:val="lowerLetter"/>
      <w:lvlText w:val="%1.%2.%3.%4.%5.%6.%7.%8."/>
      <w:lvlJc w:val="left"/>
      <w:pPr>
        <w:ind w:left="6534" w:hanging="360"/>
      </w:pPr>
    </w:lvl>
    <w:lvl w:ilvl="8">
      <w:start w:val="1"/>
      <w:numFmt w:val="lowerRoman"/>
      <w:lvlText w:val="%1.%2.%3.%4.%5.%6.%7.%8.%9."/>
      <w:lvlJc w:val="right"/>
      <w:pPr>
        <w:ind w:left="7254" w:hanging="180"/>
      </w:pPr>
    </w:lvl>
  </w:abstractNum>
  <w:abstractNum w:abstractNumId="26" w15:restartNumberingAfterBreak="0">
    <w:nsid w:val="70717F48"/>
    <w:multiLevelType w:val="multilevel"/>
    <w:tmpl w:val="74822A7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19E05F6"/>
    <w:multiLevelType w:val="multilevel"/>
    <w:tmpl w:val="B62C53D0"/>
    <w:styleLink w:val="WWNum27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1.%2.%3."/>
      <w:lvlJc w:val="right"/>
      <w:pPr>
        <w:ind w:left="2934" w:hanging="180"/>
      </w:pPr>
    </w:lvl>
    <w:lvl w:ilvl="3">
      <w:start w:val="1"/>
      <w:numFmt w:val="decimal"/>
      <w:lvlText w:val="%1.%2.%3.%4."/>
      <w:lvlJc w:val="left"/>
      <w:pPr>
        <w:ind w:left="3654" w:hanging="360"/>
      </w:pPr>
    </w:lvl>
    <w:lvl w:ilvl="4">
      <w:start w:val="1"/>
      <w:numFmt w:val="lowerLetter"/>
      <w:lvlText w:val="%1.%2.%3.%4.%5."/>
      <w:lvlJc w:val="left"/>
      <w:pPr>
        <w:ind w:left="4374" w:hanging="360"/>
      </w:pPr>
    </w:lvl>
    <w:lvl w:ilvl="5">
      <w:start w:val="1"/>
      <w:numFmt w:val="lowerRoman"/>
      <w:lvlText w:val="%1.%2.%3.%4.%5.%6."/>
      <w:lvlJc w:val="right"/>
      <w:pPr>
        <w:ind w:left="5094" w:hanging="180"/>
      </w:pPr>
    </w:lvl>
    <w:lvl w:ilvl="6">
      <w:start w:val="1"/>
      <w:numFmt w:val="decimal"/>
      <w:lvlText w:val="%1.%2.%3.%4.%5.%6.%7."/>
      <w:lvlJc w:val="left"/>
      <w:pPr>
        <w:ind w:left="5814" w:hanging="360"/>
      </w:pPr>
    </w:lvl>
    <w:lvl w:ilvl="7">
      <w:start w:val="1"/>
      <w:numFmt w:val="lowerLetter"/>
      <w:lvlText w:val="%1.%2.%3.%4.%5.%6.%7.%8."/>
      <w:lvlJc w:val="left"/>
      <w:pPr>
        <w:ind w:left="6534" w:hanging="360"/>
      </w:pPr>
    </w:lvl>
    <w:lvl w:ilvl="8">
      <w:start w:val="1"/>
      <w:numFmt w:val="lowerRoman"/>
      <w:lvlText w:val="%1.%2.%3.%4.%5.%6.%7.%8.%9."/>
      <w:lvlJc w:val="right"/>
      <w:pPr>
        <w:ind w:left="7254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21"/>
  </w:num>
  <w:num w:numId="5">
    <w:abstractNumId w:val="17"/>
  </w:num>
  <w:num w:numId="6">
    <w:abstractNumId w:val="5"/>
  </w:num>
  <w:num w:numId="7">
    <w:abstractNumId w:val="18"/>
  </w:num>
  <w:num w:numId="8">
    <w:abstractNumId w:val="22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1"/>
  </w:num>
  <w:num w:numId="15">
    <w:abstractNumId w:val="11"/>
  </w:num>
  <w:num w:numId="16">
    <w:abstractNumId w:val="19"/>
  </w:num>
  <w:num w:numId="17">
    <w:abstractNumId w:val="26"/>
  </w:num>
  <w:num w:numId="18">
    <w:abstractNumId w:val="4"/>
  </w:num>
  <w:num w:numId="19">
    <w:abstractNumId w:val="6"/>
  </w:num>
  <w:num w:numId="20">
    <w:abstractNumId w:val="24"/>
  </w:num>
  <w:num w:numId="21">
    <w:abstractNumId w:val="0"/>
  </w:num>
  <w:num w:numId="22">
    <w:abstractNumId w:val="16"/>
  </w:num>
  <w:num w:numId="23">
    <w:abstractNumId w:val="8"/>
  </w:num>
  <w:num w:numId="24">
    <w:abstractNumId w:val="12"/>
  </w:num>
  <w:num w:numId="25">
    <w:abstractNumId w:val="9"/>
  </w:num>
  <w:num w:numId="26">
    <w:abstractNumId w:val="23"/>
  </w:num>
  <w:num w:numId="27">
    <w:abstractNumId w:val="27"/>
  </w:num>
  <w:num w:numId="28">
    <w:abstractNumId w:val="25"/>
  </w:num>
  <w:num w:numId="29">
    <w:abstractNumId w:val="11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7EAA"/>
    <w:rsid w:val="005E75B6"/>
    <w:rsid w:val="00C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E0FC0-127B-4158-AC79-E5C90BE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F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harStyle6">
    <w:name w:val="CharStyle6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pPr>
      <w:shd w:val="clear" w:color="auto" w:fill="FFFFFF"/>
      <w:suppressAutoHyphens/>
      <w:spacing w:after="780" w:line="0" w:lineRule="atLeast"/>
      <w:ind w:hanging="320"/>
      <w:jc w:val="right"/>
      <w:textAlignment w:val="auto"/>
    </w:pPr>
    <w:rPr>
      <w:rFonts w:ascii="Palatino Linotype" w:eastAsia="Palatino Linotype" w:hAnsi="Palatino Linotype" w:cs="Palatino Linotype"/>
      <w:b/>
      <w:bCs/>
      <w:color w:val="000000"/>
      <w:kern w:val="0"/>
      <w:lang w:eastAsia="pl-PL" w:bidi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cp:lastPrinted>2019-05-29T07:40:00Z</cp:lastPrinted>
  <dcterms:created xsi:type="dcterms:W3CDTF">2019-05-29T08:07:00Z</dcterms:created>
  <dcterms:modified xsi:type="dcterms:W3CDTF">2019-05-29T08:07:00Z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